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cs="Times New Roman"/>
          <w:sz w:val="48"/>
          <w:szCs w:val="52"/>
        </w:rPr>
      </w:pPr>
      <w:r>
        <w:rPr>
          <w:rFonts w:hint="eastAsia" w:ascii="黑体" w:hAnsi="宋体" w:eastAsia="黑体" w:cs="Times New Roman"/>
          <w:sz w:val="48"/>
          <w:szCs w:val="52"/>
          <w:lang w:val="en-US" w:eastAsia="zh-CN"/>
        </w:rPr>
        <w:t>污水站监控联网设备采购及安装</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cs="Times New Roman"/>
                <w:sz w:val="24"/>
                <w:szCs w:val="24"/>
                <w:lang w:val="en-US" w:eastAsia="zh-CN"/>
              </w:rPr>
              <w:t>污水站监控联网设备采购及安装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DA96A9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2023-10-18T06:09:42Z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